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F2B" w:rsidRDefault="002C7CF6" w:rsidP="00D93F2B">
      <w:pPr>
        <w:spacing w:line="276" w:lineRule="auto"/>
        <w:ind w:right="172"/>
      </w:pPr>
      <w:r>
        <w:t xml:space="preserve"> </w:t>
      </w:r>
      <w:r w:rsidR="00D93F2B">
        <w:t xml:space="preserve"> </w:t>
      </w:r>
      <w:r w:rsidR="00D93F2B">
        <w:t xml:space="preserve"> </w:t>
      </w:r>
    </w:p>
    <w:p w:rsidR="00D93F2B" w:rsidRPr="00596760" w:rsidRDefault="00D93F2B" w:rsidP="00D93F2B">
      <w:pPr>
        <w:pStyle w:val="Akapitzlist"/>
        <w:spacing w:after="0" w:line="276" w:lineRule="auto"/>
        <w:ind w:left="729" w:right="172" w:firstLine="0"/>
        <w:rPr>
          <w:b/>
        </w:rPr>
      </w:pPr>
      <w:r w:rsidRPr="00596760">
        <w:rPr>
          <w:b/>
        </w:rPr>
        <w:t>WYTYCZNE W ZAKRESIE SPORZĄDZANIA OPERATU SZACUNKOWEGO OKREŚLAJĄCEGO: WYNAGRODZENIE ZA USTANOWIENIE SŁUŻEBNOŚCI PRZESYW, WYNAGRODZENIE ZA BEZUMOWNE KORZYSTANE Z NIEURUCHOMOŚCI ORAZ ODSZKODOWANIE</w:t>
      </w:r>
    </w:p>
    <w:p w:rsidR="00D93F2B" w:rsidRPr="00596760" w:rsidRDefault="00D93F2B" w:rsidP="00D93F2B">
      <w:pPr>
        <w:pStyle w:val="Akapitzlist"/>
        <w:spacing w:after="0" w:line="276" w:lineRule="auto"/>
        <w:ind w:left="729" w:right="172" w:firstLine="0"/>
        <w:rPr>
          <w:b/>
        </w:rPr>
      </w:pPr>
      <w:r w:rsidRPr="00596760">
        <w:rPr>
          <w:b/>
        </w:rPr>
        <w:t>ZA</w:t>
      </w:r>
      <w:r w:rsidR="00596760" w:rsidRPr="00596760">
        <w:rPr>
          <w:b/>
        </w:rPr>
        <w:t xml:space="preserve"> OGRANICZENIE WŁASNOŚCI LUB ZA CZ</w:t>
      </w:r>
      <w:r w:rsidRPr="00596760">
        <w:rPr>
          <w:b/>
        </w:rPr>
        <w:t>ASOWE KORZYSTANIE Z NIERUCHOMOŚCI</w:t>
      </w:r>
    </w:p>
    <w:p w:rsidR="00D93F2B" w:rsidRPr="00596760" w:rsidRDefault="00D93F2B" w:rsidP="00D93F2B">
      <w:pPr>
        <w:pStyle w:val="Akapitzlist"/>
        <w:spacing w:after="0" w:line="276" w:lineRule="auto"/>
        <w:ind w:left="729" w:right="172" w:firstLine="0"/>
        <w:rPr>
          <w:b/>
        </w:rPr>
      </w:pPr>
      <w:r w:rsidRPr="00596760">
        <w:rPr>
          <w:b/>
        </w:rPr>
        <w:t>NA POSTAWIE PRZEPISÓW USTAWY O GOSPODARCE NIERUCHOMOŚCIAMI</w:t>
      </w:r>
    </w:p>
    <w:p w:rsidR="00D93F2B" w:rsidRDefault="00D93F2B" w:rsidP="00D93F2B">
      <w:pPr>
        <w:pStyle w:val="Akapitzlist"/>
        <w:spacing w:after="0" w:line="276" w:lineRule="auto"/>
        <w:ind w:left="729" w:right="172" w:firstLine="0"/>
      </w:pPr>
    </w:p>
    <w:p w:rsidR="00D93F2B" w:rsidRPr="00596760" w:rsidRDefault="00D93F2B" w:rsidP="00D93F2B">
      <w:pPr>
        <w:pStyle w:val="Akapitzlist"/>
        <w:spacing w:after="0" w:line="276" w:lineRule="auto"/>
        <w:ind w:left="729" w:right="172" w:firstLine="0"/>
        <w:rPr>
          <w:b/>
        </w:rPr>
      </w:pPr>
      <w:r w:rsidRPr="00596760">
        <w:rPr>
          <w:b/>
        </w:rPr>
        <w:t>1. WYTYCZNE W ZAKRESIE OKREŚLANIA WARTOŚCI NIERUCHOMOŚCI</w:t>
      </w:r>
    </w:p>
    <w:p w:rsidR="00596760" w:rsidRDefault="00596760" w:rsidP="00D93F2B">
      <w:pPr>
        <w:pStyle w:val="Akapitzlist"/>
        <w:spacing w:after="0" w:line="276" w:lineRule="auto"/>
        <w:ind w:left="729" w:right="172" w:firstLine="0"/>
      </w:pPr>
    </w:p>
    <w:p w:rsidR="00D93F2B" w:rsidRDefault="00D93F2B" w:rsidP="00596760">
      <w:pPr>
        <w:pStyle w:val="Akapitzlist"/>
        <w:spacing w:after="0" w:line="276" w:lineRule="auto"/>
        <w:ind w:left="1404" w:right="172" w:hanging="675"/>
      </w:pPr>
      <w:r>
        <w:t>1)</w:t>
      </w:r>
      <w:r>
        <w:tab/>
        <w:t>Wyboru właściwego podejścia oraz metody i techniki szacowania nieruchomości dokonuje Wykonawca, uwzględniając w szczególności cel wyceny, rodzaj i położenie nieruchomości, przeznaczenie w planie miejscowym, stan nieruchomości oraz dostępne dane o cenach, dochodach i cechach nieruchomości podobnych.</w:t>
      </w:r>
    </w:p>
    <w:p w:rsidR="00D93F2B" w:rsidRDefault="00D93F2B" w:rsidP="00596760">
      <w:pPr>
        <w:pStyle w:val="Akapitzlist"/>
        <w:spacing w:after="0" w:line="276" w:lineRule="auto"/>
        <w:ind w:left="1404" w:right="172" w:hanging="675"/>
      </w:pPr>
      <w:r>
        <w:t>2)</w:t>
      </w:r>
      <w:r>
        <w:tab/>
        <w:t>W przypadku zastosowania podejścia porównawczego, operat szacunkowy powinien być zgodny z wytycznymi wynikającymi z Noty Interpretacyjnej „Zastosowanie podejścia porównawczego w wycenie nieruchomości".</w:t>
      </w:r>
    </w:p>
    <w:p w:rsidR="00D93F2B" w:rsidRDefault="00D93F2B" w:rsidP="00596760">
      <w:pPr>
        <w:pStyle w:val="Akapitzlist"/>
        <w:spacing w:after="0" w:line="276" w:lineRule="auto"/>
        <w:ind w:left="1404" w:right="172" w:hanging="675"/>
      </w:pPr>
      <w:r>
        <w:t>3)</w:t>
      </w:r>
      <w:r>
        <w:tab/>
        <w:t>W przypadku zastosowania podejścia porównawczego, w operacie szacunkowym należy zamieścić opis nieruchomości przyjętych do analizy obejmujący w szczególności następujące informacje, z zastrzeżeniem możliwości powołania się przez Wykonawcę na ochronę informacji stanowiących tajemnicę zawodową:</w:t>
      </w:r>
    </w:p>
    <w:p w:rsidR="00D93F2B" w:rsidRDefault="00D93F2B" w:rsidP="00596760">
      <w:pPr>
        <w:pStyle w:val="Akapitzlist"/>
        <w:spacing w:after="0" w:line="276" w:lineRule="auto"/>
        <w:ind w:left="729" w:right="172" w:firstLine="675"/>
      </w:pPr>
      <w:r>
        <w:t>a)</w:t>
      </w:r>
      <w:r>
        <w:tab/>
        <w:t>rodzaj prawa do nieruchomości: własność, użytkowanie wieczyste,</w:t>
      </w:r>
    </w:p>
    <w:p w:rsidR="00D93F2B" w:rsidRDefault="00D93F2B" w:rsidP="00596760">
      <w:pPr>
        <w:pStyle w:val="Akapitzlist"/>
        <w:spacing w:after="0" w:line="276" w:lineRule="auto"/>
        <w:ind w:left="1404" w:right="172" w:firstLine="0"/>
      </w:pPr>
      <w:r>
        <w:t>b)</w:t>
      </w:r>
      <w:r>
        <w:tab/>
        <w:t>cena transakcyjna sprzedaży nieruchomości oraz cena jednostki porównawczej odnosząca się do m 2 powierzchni nieruchomości,</w:t>
      </w:r>
    </w:p>
    <w:p w:rsidR="00D93F2B" w:rsidRDefault="00D93F2B" w:rsidP="00596760">
      <w:pPr>
        <w:pStyle w:val="Akapitzlist"/>
        <w:spacing w:after="0" w:line="276" w:lineRule="auto"/>
        <w:ind w:left="729" w:right="172" w:firstLine="675"/>
      </w:pPr>
      <w:r>
        <w:t>c)</w:t>
      </w:r>
      <w:r>
        <w:tab/>
        <w:t>data zawarcia transakcji,</w:t>
      </w:r>
    </w:p>
    <w:p w:rsidR="00D93F2B" w:rsidRDefault="00D93F2B" w:rsidP="00596760">
      <w:pPr>
        <w:pStyle w:val="Akapitzlist"/>
        <w:spacing w:after="0" w:line="276" w:lineRule="auto"/>
        <w:ind w:left="1404" w:right="172" w:firstLine="0"/>
      </w:pPr>
      <w:r>
        <w:t>d)</w:t>
      </w:r>
      <w:r>
        <w:tab/>
        <w:t>położenie nieruchomości: gmina, miejscowość, numer obrębu, numer ewidencyjny dziatki,</w:t>
      </w:r>
    </w:p>
    <w:p w:rsidR="00D93F2B" w:rsidRDefault="00D93F2B" w:rsidP="00596760">
      <w:pPr>
        <w:pStyle w:val="Akapitzlist"/>
        <w:spacing w:after="0" w:line="276" w:lineRule="auto"/>
        <w:ind w:left="729" w:right="172" w:firstLine="675"/>
      </w:pPr>
      <w:r>
        <w:t>e)</w:t>
      </w:r>
      <w:r>
        <w:tab/>
        <w:t>powierzchnia nieruchomości w m 2,</w:t>
      </w:r>
    </w:p>
    <w:p w:rsidR="00D93F2B" w:rsidRDefault="00D93F2B" w:rsidP="00596760">
      <w:pPr>
        <w:pStyle w:val="Akapitzlist"/>
        <w:spacing w:after="0" w:line="276" w:lineRule="auto"/>
        <w:ind w:left="729" w:right="172" w:firstLine="675"/>
      </w:pPr>
      <w:r>
        <w:t>f)</w:t>
      </w:r>
      <w:r>
        <w:tab/>
        <w:t>przeznaczenie nieruchomości w ewidencji gruntów,</w:t>
      </w:r>
    </w:p>
    <w:p w:rsidR="00D93F2B" w:rsidRDefault="00D93F2B" w:rsidP="00596760">
      <w:pPr>
        <w:pStyle w:val="Akapitzlist"/>
        <w:spacing w:after="0" w:line="276" w:lineRule="auto"/>
        <w:ind w:left="1404" w:right="172" w:firstLine="0"/>
      </w:pPr>
      <w:r>
        <w:t>g)</w:t>
      </w:r>
      <w:r>
        <w:tab/>
        <w:t>przeznaczenie nieruchomości w miejscowym planie zagospodarowania przestrzennego oraz nazwę tego planu i podstawę jego uchwalenia, a w przypadku przeznaczenia niejednorodnego — wskazanie procentowego udziału poszczególnych funkcji,</w:t>
      </w:r>
    </w:p>
    <w:p w:rsidR="00D93F2B" w:rsidRDefault="00D93F2B" w:rsidP="00596760">
      <w:pPr>
        <w:pStyle w:val="Akapitzlist"/>
        <w:spacing w:after="0" w:line="276" w:lineRule="auto"/>
        <w:ind w:left="1404" w:right="172" w:firstLine="0"/>
      </w:pPr>
      <w:r>
        <w:t>h)</w:t>
      </w:r>
      <w:r>
        <w:tab/>
        <w:t>w przypadku braku miejscowego planu zagospodarowania przestrzennego, wskazanie funkcji wynikających ze studium uwarunkowań i kierunków zagospodarowania przestrzennego lub decyzji o warunkach zabudowy i zagospodarowania terenu, a w przypadku funkcji niejednorodnych — wskazanie procentowego udziału poszczególnych funkcji,</w:t>
      </w:r>
    </w:p>
    <w:p w:rsidR="005A1DBD" w:rsidRDefault="00D93F2B" w:rsidP="00596760">
      <w:pPr>
        <w:pStyle w:val="Akapitzlist"/>
        <w:spacing w:after="0" w:line="276" w:lineRule="auto"/>
        <w:ind w:left="1404" w:right="172" w:firstLine="0"/>
      </w:pPr>
      <w:r>
        <w:t>i)</w:t>
      </w:r>
      <w:r>
        <w:tab/>
        <w:t xml:space="preserve">w przypadku gruntów rolnych — wskazanie użytku gruntowego (grunt orny, sad, łąka trwała, pastwisko trwałe, grunt rolny zabudowany, grunt </w:t>
      </w:r>
    </w:p>
    <w:p w:rsidR="005A1DBD" w:rsidRDefault="005A1DBD" w:rsidP="00596760">
      <w:pPr>
        <w:pStyle w:val="Akapitzlist"/>
        <w:spacing w:after="0" w:line="276" w:lineRule="auto"/>
        <w:ind w:left="1404" w:right="172" w:firstLine="0"/>
      </w:pPr>
    </w:p>
    <w:p w:rsidR="00D93F2B" w:rsidRDefault="00D93F2B" w:rsidP="00596760">
      <w:pPr>
        <w:pStyle w:val="Akapitzlist"/>
        <w:spacing w:after="0" w:line="276" w:lineRule="auto"/>
        <w:ind w:left="1404" w:right="172" w:firstLine="0"/>
      </w:pPr>
      <w:r>
        <w:lastRenderedPageBreak/>
        <w:t>zadrzewiony i zakrzewiony na użytkach rolnych, grunt pod stawami, rów) oraz klasy bonitacyjnej.</w:t>
      </w:r>
    </w:p>
    <w:p w:rsidR="00D93F2B" w:rsidRDefault="00242C35" w:rsidP="00242C35">
      <w:pPr>
        <w:spacing w:after="0" w:line="276" w:lineRule="auto"/>
        <w:ind w:left="1404" w:right="172" w:hanging="1303"/>
      </w:pPr>
      <w:r>
        <w:t xml:space="preserve">           </w:t>
      </w:r>
      <w:bookmarkStart w:id="0" w:name="_GoBack"/>
      <w:bookmarkEnd w:id="0"/>
      <w:r w:rsidR="00D93F2B">
        <w:t>4)</w:t>
      </w:r>
      <w:r w:rsidR="00D93F2B">
        <w:tab/>
      </w:r>
      <w:r>
        <w:tab/>
      </w:r>
      <w:r w:rsidR="00D93F2B">
        <w:t>Analiza przeznaczenia nieruchomości wycenianej powinna zostać dokonana w sposób wszechstronny i powinna obejmować:</w:t>
      </w:r>
    </w:p>
    <w:p w:rsidR="00D93F2B" w:rsidRDefault="00D93F2B" w:rsidP="00596760">
      <w:pPr>
        <w:pStyle w:val="Akapitzlist"/>
        <w:spacing w:after="0" w:line="276" w:lineRule="auto"/>
        <w:ind w:left="1404" w:right="172" w:firstLine="0"/>
      </w:pPr>
      <w:r>
        <w:t>a)</w:t>
      </w:r>
      <w:r>
        <w:tab/>
        <w:t>analizę zapisów planu miejscowego dotyczącą nie tylko ogólnego przeznaczenia nieruchomości, ale również dopuszczalnego sposobu jej zagospodarowania oraz warunków zabudowy terenu, w tym w obszarach sąsiadujących z istniejącym albo projektowanym przebiegiem linii energetycznej,</w:t>
      </w:r>
    </w:p>
    <w:p w:rsidR="00D93F2B" w:rsidRDefault="00D93F2B" w:rsidP="00596760">
      <w:pPr>
        <w:pStyle w:val="Akapitzlist"/>
        <w:spacing w:after="0" w:line="276" w:lineRule="auto"/>
        <w:ind w:left="1404" w:right="172" w:firstLine="0"/>
      </w:pPr>
      <w:r>
        <w:t>b)</w:t>
      </w:r>
      <w:r>
        <w:tab/>
        <w:t>analizę ograniczeń w korzystaniu z nieruchomości niezależnych od faktu funkcjonowania linii elektroenergetycznej, takich jak:</w:t>
      </w:r>
    </w:p>
    <w:p w:rsidR="00652CB7" w:rsidRDefault="00652CB7" w:rsidP="00596760">
      <w:pPr>
        <w:pStyle w:val="Akapitzlist"/>
        <w:spacing w:after="0" w:line="276" w:lineRule="auto"/>
        <w:ind w:left="1404" w:right="172" w:firstLine="0"/>
      </w:pPr>
      <w:r>
        <w:t xml:space="preserve">- </w:t>
      </w:r>
      <w:r w:rsidR="00D93F2B">
        <w:t xml:space="preserve">istnienie na nieruchomości albo w jej bezpośrednim sąsiedztwie innych urządzeń przesyłowych,   </w:t>
      </w:r>
    </w:p>
    <w:p w:rsidR="00652CB7" w:rsidRDefault="00652CB7" w:rsidP="00596760">
      <w:pPr>
        <w:pStyle w:val="Akapitzlist"/>
        <w:spacing w:after="0" w:line="276" w:lineRule="auto"/>
        <w:ind w:left="1404" w:right="172" w:firstLine="0"/>
      </w:pPr>
      <w:r>
        <w:t xml:space="preserve">- </w:t>
      </w:r>
      <w:r w:rsidR="00D93F2B">
        <w:t xml:space="preserve">sąsiedztwo drogi szybkiego ruchu, torów kolejowych,   </w:t>
      </w:r>
    </w:p>
    <w:p w:rsidR="00652CB7" w:rsidRDefault="00652CB7" w:rsidP="00596760">
      <w:pPr>
        <w:pStyle w:val="Akapitzlist"/>
        <w:spacing w:after="0" w:line="276" w:lineRule="auto"/>
        <w:ind w:left="1404" w:right="172" w:firstLine="0"/>
      </w:pPr>
      <w:r>
        <w:t>-</w:t>
      </w:r>
      <w:r w:rsidR="00D93F2B">
        <w:t xml:space="preserve">sąsiedztwo cmentarza, zakładu produkcyjnego itp.,   </w:t>
      </w:r>
    </w:p>
    <w:p w:rsidR="00D93F2B" w:rsidRDefault="00652CB7" w:rsidP="00652CB7">
      <w:pPr>
        <w:pStyle w:val="Akapitzlist"/>
        <w:spacing w:after="0" w:line="276" w:lineRule="auto"/>
        <w:ind w:left="1404" w:right="172" w:firstLine="0"/>
      </w:pPr>
      <w:r>
        <w:t xml:space="preserve">- </w:t>
      </w:r>
      <w:r w:rsidR="00D93F2B">
        <w:t>ograniczenia wynikające z przepisów powszechnie obowiązującego prawa, w tym przede wszystkim z przepisów dotyczących: oddziaływania obszarów i terenów górniczych, ochrony zabytków, ochrony przeciwpowodziowej, ochrony środowiska.</w:t>
      </w:r>
      <w:r>
        <w:t xml:space="preserve"> </w:t>
      </w:r>
      <w:r w:rsidR="00D93F2B">
        <w:t xml:space="preserve"> </w:t>
      </w:r>
    </w:p>
    <w:p w:rsidR="00D93F2B" w:rsidRDefault="00242C35" w:rsidP="00242C35">
      <w:pPr>
        <w:spacing w:after="0" w:line="276" w:lineRule="auto"/>
        <w:ind w:left="1404" w:right="172" w:hanging="1303"/>
      </w:pPr>
      <w:r>
        <w:t xml:space="preserve">           </w:t>
      </w:r>
      <w:r w:rsidR="00D93F2B">
        <w:t>5)</w:t>
      </w:r>
      <w:r w:rsidR="00D93F2B">
        <w:tab/>
      </w:r>
      <w:r>
        <w:tab/>
      </w:r>
      <w:r w:rsidR="00D93F2B">
        <w:t>Wykonawca dokona również analizy obciążeń nieruchomości, w szczególności ujawnionych w dziale III księgi wieczystej.</w:t>
      </w:r>
    </w:p>
    <w:p w:rsidR="00D93F2B" w:rsidRDefault="00D93F2B" w:rsidP="00242C35">
      <w:pPr>
        <w:spacing w:after="0" w:line="276" w:lineRule="auto"/>
        <w:ind w:left="1404" w:right="172" w:hanging="696"/>
      </w:pPr>
      <w:r>
        <w:t>6)</w:t>
      </w:r>
      <w:r>
        <w:tab/>
        <w:t>Wykonawca każdorazowo jest zobowiązany do dokonania analizy wpływu występujących na danej nieruchomości ograniczeń i obciążeń, ustalonych stosownie do postanowień zawartych w pkt 4. i 5. powyżej, na wartość nieruchomości i uwzględnienia ich w wycenie.</w:t>
      </w:r>
    </w:p>
    <w:p w:rsidR="00652CB7" w:rsidRDefault="00652CB7" w:rsidP="00D93F2B">
      <w:pPr>
        <w:pStyle w:val="Akapitzlist"/>
        <w:spacing w:after="0" w:line="276" w:lineRule="auto"/>
        <w:ind w:left="729" w:right="172" w:firstLine="0"/>
      </w:pPr>
    </w:p>
    <w:p w:rsidR="00D93F2B" w:rsidRPr="00652CB7" w:rsidRDefault="00D93F2B" w:rsidP="00D93F2B">
      <w:pPr>
        <w:pStyle w:val="Akapitzlist"/>
        <w:spacing w:after="0" w:line="276" w:lineRule="auto"/>
        <w:ind w:left="729" w:right="172" w:firstLine="0"/>
        <w:rPr>
          <w:b/>
        </w:rPr>
      </w:pPr>
      <w:r w:rsidRPr="00652CB7">
        <w:rPr>
          <w:b/>
        </w:rPr>
        <w:t>2.</w:t>
      </w:r>
      <w:r w:rsidRPr="00652CB7">
        <w:rPr>
          <w:b/>
        </w:rPr>
        <w:tab/>
        <w:t>WYTYCZNE W ZAKRESIE SZACOWANIA WYNAGRODZENIA ZA USTANOWIENIE SŁUŻEBNOŚCI PRZESYŁU</w:t>
      </w:r>
    </w:p>
    <w:p w:rsidR="005A1DBD" w:rsidRDefault="005A1DBD" w:rsidP="00652CB7">
      <w:pPr>
        <w:pStyle w:val="Akapitzlist"/>
        <w:spacing w:after="0" w:line="276" w:lineRule="auto"/>
        <w:ind w:left="1416" w:right="172" w:firstLine="0"/>
      </w:pPr>
    </w:p>
    <w:p w:rsidR="00D93F2B" w:rsidRDefault="00242C35" w:rsidP="005A1DBD">
      <w:pPr>
        <w:spacing w:after="0" w:line="276" w:lineRule="auto"/>
        <w:ind w:left="1406" w:right="172" w:hanging="1305"/>
      </w:pPr>
      <w:r>
        <w:t xml:space="preserve">              </w:t>
      </w:r>
      <w:r w:rsidR="00D93F2B">
        <w:t>1)</w:t>
      </w:r>
      <w:r w:rsidR="00D93F2B">
        <w:tab/>
        <w:t xml:space="preserve">Wykonawca określa wysokość wynagrodzenia za ustanowienie służebności </w:t>
      </w:r>
      <w:proofErr w:type="spellStart"/>
      <w:r w:rsidR="00D93F2B">
        <w:t>przesyłu</w:t>
      </w:r>
      <w:proofErr w:type="spellEnd"/>
      <w:r w:rsidR="00D93F2B">
        <w:t xml:space="preserve"> w formie jednorazowego świadczenia.</w:t>
      </w:r>
    </w:p>
    <w:p w:rsidR="00D93F2B" w:rsidRDefault="00242C35" w:rsidP="00242C35">
      <w:pPr>
        <w:spacing w:after="0" w:line="276" w:lineRule="auto"/>
        <w:ind w:left="1406" w:right="172" w:hanging="1305"/>
      </w:pPr>
      <w:r>
        <w:t xml:space="preserve">              </w:t>
      </w:r>
      <w:r w:rsidR="00D93F2B">
        <w:t>2)</w:t>
      </w:r>
      <w:r w:rsidR="00D93F2B">
        <w:tab/>
      </w:r>
      <w:r>
        <w:tab/>
      </w:r>
      <w:r w:rsidR="00D93F2B">
        <w:t>Podstawę metodyczną określenia wysokości wynagrodzenia za ustanowienie służebności przesytu stanowić będzie w szczególności Krajowy Standard Wyceny Specjalistyczny „Określenie wartości służebności przesytu i wynagrodzenia za jej ustanowienie oraz wynagrodzenia za bezumowne korzystanie z nieruchomości przez przedsiębiorców przesyłowych”.</w:t>
      </w:r>
    </w:p>
    <w:p w:rsidR="00D93F2B" w:rsidRDefault="00242C35" w:rsidP="00242C35">
      <w:pPr>
        <w:spacing w:after="0" w:line="276" w:lineRule="auto"/>
        <w:ind w:left="1406" w:right="172" w:hanging="1305"/>
      </w:pPr>
      <w:r>
        <w:t xml:space="preserve">              </w:t>
      </w:r>
      <w:r w:rsidR="00D93F2B">
        <w:t>3)</w:t>
      </w:r>
      <w:r w:rsidR="00D93F2B">
        <w:tab/>
        <w:t>Określenie wysokości wynagrodzenia za ustanowienie służebności przesytu powinno uwzględniać niżej wymienione kluczowe założenia:</w:t>
      </w:r>
    </w:p>
    <w:p w:rsidR="00D93F2B" w:rsidRDefault="00242C35" w:rsidP="00652CB7">
      <w:pPr>
        <w:pStyle w:val="Akapitzlist"/>
        <w:spacing w:after="0" w:line="276" w:lineRule="auto"/>
        <w:ind w:left="1416" w:right="172" w:firstLine="0"/>
      </w:pPr>
      <w:r>
        <w:t>a)</w:t>
      </w:r>
      <w:r>
        <w:tab/>
      </w:r>
      <w:r w:rsidR="00D93F2B">
        <w:t xml:space="preserve">podstawowym składnikiem wynagrodzenia za ustanowienie służebności </w:t>
      </w:r>
      <w:proofErr w:type="spellStart"/>
      <w:r w:rsidR="00D93F2B">
        <w:t>przesyłu</w:t>
      </w:r>
      <w:proofErr w:type="spellEnd"/>
      <w:r w:rsidR="00D93F2B">
        <w:t xml:space="preserve"> jest wynagrodzenie za korzystanie z nieruchomości w pasie służebności </w:t>
      </w:r>
      <w:proofErr w:type="spellStart"/>
      <w:r w:rsidR="00D93F2B">
        <w:t>przesyłu</w:t>
      </w:r>
      <w:proofErr w:type="spellEnd"/>
      <w:r w:rsidR="00D93F2B">
        <w:t xml:space="preserve"> w przyszłości,</w:t>
      </w:r>
    </w:p>
    <w:p w:rsidR="00D93F2B" w:rsidRDefault="00D93F2B" w:rsidP="005A1DBD">
      <w:pPr>
        <w:pStyle w:val="Akapitzlist"/>
        <w:spacing w:after="0" w:line="276" w:lineRule="auto"/>
        <w:ind w:left="1416" w:right="172" w:firstLine="0"/>
      </w:pPr>
      <w:r>
        <w:lastRenderedPageBreak/>
        <w:t>b)</w:t>
      </w:r>
      <w:r>
        <w:tab/>
        <w:t>w zależności od okoliczności konkretnej sprawy, Zamawiający może wskazać inne składniki wynagrodzenia, których wartość powinna podlegać określeniu,</w:t>
      </w:r>
    </w:p>
    <w:p w:rsidR="00D93F2B" w:rsidRDefault="00D93F2B" w:rsidP="005A1DBD">
      <w:pPr>
        <w:pStyle w:val="Akapitzlist"/>
        <w:spacing w:after="0" w:line="276" w:lineRule="auto"/>
        <w:ind w:left="1416" w:right="172" w:firstLine="0"/>
      </w:pPr>
      <w:r>
        <w:t>c)</w:t>
      </w:r>
      <w:r>
        <w:tab/>
        <w:t xml:space="preserve">obniżenie wartość nieruchomości na skutek prawnej lokalizacji urządzenia nie może podlegać rekompensacie w ramach wynagrodzenia za ustanowienie służebności </w:t>
      </w:r>
      <w:proofErr w:type="spellStart"/>
      <w:r>
        <w:t>przesyłu</w:t>
      </w:r>
      <w:proofErr w:type="spellEnd"/>
      <w:r>
        <w:t>,</w:t>
      </w:r>
    </w:p>
    <w:p w:rsidR="00D93F2B" w:rsidRDefault="00D93F2B" w:rsidP="005A1DBD">
      <w:pPr>
        <w:pStyle w:val="Akapitzlist"/>
        <w:spacing w:after="0" w:line="276" w:lineRule="auto"/>
        <w:ind w:left="1416" w:right="172" w:firstLine="0"/>
      </w:pPr>
      <w:r>
        <w:t>d)</w:t>
      </w:r>
      <w:r>
        <w:tab/>
        <w:t>w przypadku wystąpienia szkody lokalizacyjnej, o której mowa powyżej, bazowa wartość nieruchomości ustalona dla potrzeb określenia wysokości wynagrodzenia za ustanowienie służebności przesytu powinna zostać odpowiednio obniżona.</w:t>
      </w:r>
    </w:p>
    <w:p w:rsidR="00D93F2B" w:rsidRDefault="00D93F2B" w:rsidP="009B054F">
      <w:pPr>
        <w:spacing w:after="0" w:line="276" w:lineRule="auto"/>
        <w:ind w:left="1406" w:right="172" w:hanging="698"/>
      </w:pPr>
      <w:r>
        <w:t>4)</w:t>
      </w:r>
      <w:r>
        <w:tab/>
      </w:r>
      <w:r w:rsidR="009B054F">
        <w:tab/>
      </w:r>
      <w:r>
        <w:t>Przed przystąpieniem do wyceny Wykonawca jest zobowiązany do ustalenia przeznaczenia nieruchomości przed prawną lokalizacją urządzeń, chyba, że dane te nie są powszechnie dostępne i nie znajdują się w posiadaniu Zamawiającego.</w:t>
      </w:r>
    </w:p>
    <w:p w:rsidR="00D93F2B" w:rsidRDefault="009B054F" w:rsidP="009B054F">
      <w:pPr>
        <w:spacing w:after="0" w:line="276" w:lineRule="auto"/>
        <w:ind w:left="1406" w:right="172" w:hanging="1305"/>
      </w:pPr>
      <w:r>
        <w:t xml:space="preserve">           </w:t>
      </w:r>
      <w:r w:rsidR="00D93F2B">
        <w:t>5)</w:t>
      </w:r>
      <w:r w:rsidR="00D93F2B">
        <w:tab/>
      </w:r>
      <w:r>
        <w:tab/>
      </w:r>
      <w:r w:rsidR="00D93F2B">
        <w:t>Wykonawca każdorazowo jest zobowiązany do dokonania analizy skutków prawnej lokalizacji urządzeń, w tym w oparciu o informacje i dokumenty dotyczące prawnej lokalizacji przekazane przez Zamawiającego (decyzje lokalizacyjne) oraz pozyskane samodzielnie (w szczególności postanowienia planów miejscowych). W przypadku zidentyfikowania powstania szkody lokalizacyjnej Wykonawca jest zobowiązany do:</w:t>
      </w:r>
    </w:p>
    <w:p w:rsidR="00D93F2B" w:rsidRDefault="00D93F2B" w:rsidP="005A1DBD">
      <w:pPr>
        <w:pStyle w:val="Akapitzlist"/>
        <w:spacing w:after="0" w:line="276" w:lineRule="auto"/>
        <w:ind w:left="1416" w:right="172" w:firstLine="0"/>
      </w:pPr>
      <w:r>
        <w:t>a)</w:t>
      </w:r>
      <w:r>
        <w:tab/>
        <w:t>pominięcia, w procesie określania wartości, ograniczeń w sposobie zagospodarowania nieruchomości lub sposobu korzystania z niej powstałych na etapie prawnej lokalizacji urządzeń,</w:t>
      </w:r>
    </w:p>
    <w:p w:rsidR="00D93F2B" w:rsidRDefault="00D93F2B" w:rsidP="005A1DBD">
      <w:pPr>
        <w:pStyle w:val="Akapitzlist"/>
        <w:spacing w:after="0" w:line="276" w:lineRule="auto"/>
        <w:ind w:left="1416" w:right="172" w:firstLine="0"/>
      </w:pPr>
      <w:r>
        <w:t>b)</w:t>
      </w:r>
      <w:r>
        <w:tab/>
        <w:t>przyjęcia jako bazowej wartości nieruchomości obniżonej na skutek prawnej lokalizacji urządzeń.</w:t>
      </w:r>
    </w:p>
    <w:p w:rsidR="00D93F2B" w:rsidRDefault="009B054F" w:rsidP="009B054F">
      <w:pPr>
        <w:spacing w:after="0" w:line="276" w:lineRule="auto"/>
        <w:ind w:left="1406" w:right="172" w:hanging="1305"/>
      </w:pPr>
      <w:r>
        <w:t xml:space="preserve">           </w:t>
      </w:r>
      <w:r w:rsidR="00D93F2B">
        <w:t>6)</w:t>
      </w:r>
      <w:r w:rsidR="00D93F2B">
        <w:tab/>
      </w:r>
      <w:r>
        <w:tab/>
      </w:r>
      <w:r w:rsidR="00D93F2B">
        <w:t>Wynagrodzenie za ustanowienie służebności przesytu będzie określane przez Wykonawcę w zakresie wskazanym przez Zamawiającego. Jeżeli Zamawiający nie sprecyzuje składników, które mają być określone, Wykonawca określi to świadczenie jako wynagrodzenie za korzystanie z nieruchomości w pasie służebności przesytu w przyszłości.</w:t>
      </w:r>
    </w:p>
    <w:p w:rsidR="00D93F2B" w:rsidRDefault="00D93F2B" w:rsidP="00242C35">
      <w:pPr>
        <w:spacing w:after="0" w:line="276" w:lineRule="auto"/>
        <w:ind w:left="1406" w:right="172" w:hanging="698"/>
      </w:pPr>
      <w:r>
        <w:t>7)</w:t>
      </w:r>
      <w:r>
        <w:tab/>
        <w:t>W przypadku wskazania przez Zamawiającego dodatkowych składników wynagrodzenia za ustanowienie służebności przesytu, Wykonawca jest zobowiązany do określenia ich wartości i oddzielnego wykazania w operacie szacunkowym.</w:t>
      </w:r>
    </w:p>
    <w:p w:rsidR="00D93F2B" w:rsidRDefault="00242C35" w:rsidP="00242C35">
      <w:pPr>
        <w:spacing w:after="0" w:line="276" w:lineRule="auto"/>
        <w:ind w:left="1406" w:right="172" w:hanging="1305"/>
      </w:pPr>
      <w:r>
        <w:t xml:space="preserve">            </w:t>
      </w:r>
      <w:r w:rsidR="00D93F2B">
        <w:t>8)</w:t>
      </w:r>
      <w:r w:rsidR="00D93F2B">
        <w:tab/>
      </w:r>
      <w:r>
        <w:tab/>
      </w:r>
      <w:r w:rsidR="00D93F2B">
        <w:t>Operat szacunkowy powinien uwzględniać skutki prawne i ekonomiczne wynikające z informacji i dokumentów przedłożonych przez Zamawiającego na potrzeby dokonania wyceny, zgodnie z postanowieniami 5 6 ust. 2 umowy o świadczenie usług przez Wykonawcę na rzecz Zamawiającego.</w:t>
      </w:r>
    </w:p>
    <w:p w:rsidR="00D93F2B" w:rsidRDefault="00242C35" w:rsidP="00242C35">
      <w:pPr>
        <w:spacing w:after="0" w:line="276" w:lineRule="auto"/>
        <w:ind w:left="1404" w:right="172" w:hanging="675"/>
      </w:pPr>
      <w:r>
        <w:t>9)</w:t>
      </w:r>
      <w:r>
        <w:tab/>
      </w:r>
      <w:r w:rsidR="00D93F2B">
        <w:t xml:space="preserve">Szerokość pasa służebności </w:t>
      </w:r>
      <w:proofErr w:type="spellStart"/>
      <w:r w:rsidR="00D93F2B">
        <w:t>przesyłu</w:t>
      </w:r>
      <w:proofErr w:type="spellEnd"/>
      <w:r w:rsidR="00D93F2B">
        <w:t xml:space="preserve"> oraz jego powierzchnia będą każdorazowo wskazywane przez Zamawiającego i Wykonawca nie jest uprawniony do samodzielnego określania odmiennych szerokości pasa służebności przesytu ani </w:t>
      </w:r>
      <w:r w:rsidR="00D93F2B">
        <w:lastRenderedPageBreak/>
        <w:t>też uwzględniania w wycenie samodzielnie określonych stref oddziaływania urządzeń lub stref ograniczonego korzystania z nieruchomości.</w:t>
      </w:r>
    </w:p>
    <w:p w:rsidR="005A1DBD" w:rsidRDefault="005A1DBD" w:rsidP="00D93F2B">
      <w:pPr>
        <w:pStyle w:val="Akapitzlist"/>
        <w:spacing w:after="0" w:line="276" w:lineRule="auto"/>
        <w:ind w:left="729" w:right="172" w:firstLine="0"/>
      </w:pPr>
    </w:p>
    <w:p w:rsidR="00D93F2B" w:rsidRPr="005A1DBD" w:rsidRDefault="00D93F2B" w:rsidP="00D93F2B">
      <w:pPr>
        <w:pStyle w:val="Akapitzlist"/>
        <w:spacing w:after="0" w:line="276" w:lineRule="auto"/>
        <w:ind w:left="729" w:right="172" w:firstLine="0"/>
        <w:rPr>
          <w:b/>
        </w:rPr>
      </w:pPr>
      <w:r w:rsidRPr="005A1DBD">
        <w:rPr>
          <w:b/>
        </w:rPr>
        <w:t>3.</w:t>
      </w:r>
      <w:r>
        <w:tab/>
      </w:r>
      <w:r w:rsidRPr="005A1DBD">
        <w:rPr>
          <w:b/>
        </w:rPr>
        <w:t>WYTYCZNE W ZAKRESIE SZACOWANIA WYNAGRODZENIA ZA BEZUMOWNE</w:t>
      </w:r>
    </w:p>
    <w:p w:rsidR="00D93F2B" w:rsidRPr="005A1DBD" w:rsidRDefault="00D93F2B" w:rsidP="009B054F">
      <w:pPr>
        <w:pStyle w:val="Akapitzlist"/>
        <w:spacing w:after="0" w:line="276" w:lineRule="auto"/>
        <w:ind w:left="729" w:right="172" w:firstLine="675"/>
        <w:rPr>
          <w:b/>
        </w:rPr>
      </w:pPr>
      <w:r w:rsidRPr="005A1DBD">
        <w:rPr>
          <w:b/>
        </w:rPr>
        <w:t>KORZYSTANIE Z NIERUCHOMOŚCI</w:t>
      </w:r>
    </w:p>
    <w:p w:rsidR="005A1DBD" w:rsidRDefault="005A1DBD" w:rsidP="00D93F2B">
      <w:pPr>
        <w:pStyle w:val="Akapitzlist"/>
        <w:spacing w:after="0" w:line="276" w:lineRule="auto"/>
        <w:ind w:left="729" w:right="172" w:firstLine="0"/>
      </w:pP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1)</w:t>
      </w:r>
      <w:r>
        <w:tab/>
        <w:t>Wykonawca określa wysokość wynagrodzenia za bezumowne korzystanie z nieruchomości w formie jednorazowego świadczenia.</w:t>
      </w:r>
    </w:p>
    <w:p w:rsidR="00D93F2B" w:rsidRDefault="00D93F2B" w:rsidP="00D93F2B">
      <w:pPr>
        <w:pStyle w:val="Akapitzlist"/>
        <w:spacing w:after="0" w:line="276" w:lineRule="auto"/>
        <w:ind w:left="729" w:right="172" w:firstLine="0"/>
      </w:pPr>
      <w:r>
        <w:t>2)</w:t>
      </w:r>
      <w:r>
        <w:tab/>
        <w:t>Podstawę metodyczną określania wynagrodzenia za bezumowne korzystanie z</w:t>
      </w:r>
    </w:p>
    <w:p w:rsidR="00D93F2B" w:rsidRDefault="00D93F2B" w:rsidP="009B054F">
      <w:pPr>
        <w:pStyle w:val="Akapitzlist"/>
        <w:spacing w:after="0" w:line="276" w:lineRule="auto"/>
        <w:ind w:left="1404" w:right="172" w:firstLine="0"/>
      </w:pPr>
      <w:r>
        <w:t>nieruchomości stanowić będzie w szczególności Krajowy Standard Wyceny Specjalistyczny „Określenie wartości służebności przesytu i wynagrodzenia za jej ustanowienie oraz wynagrodzenia za bezumowne korzystanie z nieruchomości przez przedsiębiorców przesyłowych”.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3)</w:t>
      </w:r>
      <w:r>
        <w:tab/>
        <w:t>Określenie wysokości wynagrodzenia za bezumowne korzystanie z nieruchomości powinno uwzględniać niżej wymienione założenia:</w:t>
      </w:r>
    </w:p>
    <w:p w:rsidR="00D93F2B" w:rsidRDefault="00D93F2B" w:rsidP="009B054F">
      <w:pPr>
        <w:pStyle w:val="Akapitzlist"/>
        <w:spacing w:after="0" w:line="276" w:lineRule="auto"/>
        <w:ind w:left="1404" w:right="172" w:firstLine="0"/>
      </w:pPr>
      <w:r>
        <w:t>a)</w:t>
      </w:r>
      <w:r>
        <w:tab/>
        <w:t>wynagrodzenie za bezumowne korzystanie z nieruchomości nie ma charakteru odszkodowawczego,</w:t>
      </w:r>
    </w:p>
    <w:p w:rsidR="00D93F2B" w:rsidRDefault="00D93F2B" w:rsidP="009B054F">
      <w:pPr>
        <w:pStyle w:val="Akapitzlist"/>
        <w:spacing w:after="0" w:line="276" w:lineRule="auto"/>
        <w:ind w:left="1416" w:right="172" w:firstLine="0"/>
      </w:pPr>
      <w:r>
        <w:t>b)</w:t>
      </w:r>
      <w:r>
        <w:tab/>
        <w:t>wynagrodzenie za bezumowne korzystanie z nieruchomości przez przedsiębiorcę przesyłowego stanowi nieuzyskane przez właściciela albo użytkownika wieczystego nominalne wynagrodzenia z pasa bezumownego korzystania w poszczególnych latach (ew. innych okresach gospodarczych) w przeszłości, uwzględniające stopień ingerencji przedsiębiorcy przesyłowego w prawo własności oraz poziom potencjalnych wynagrodzeń w poszczególnych okresach bezumownego korzystania,</w:t>
      </w:r>
    </w:p>
    <w:p w:rsidR="00D93F2B" w:rsidRDefault="009B054F" w:rsidP="009B054F">
      <w:pPr>
        <w:pStyle w:val="Akapitzlist"/>
        <w:spacing w:after="0" w:line="276" w:lineRule="auto"/>
        <w:ind w:left="1404" w:right="172" w:firstLine="0"/>
      </w:pPr>
      <w:r>
        <w:t>c)</w:t>
      </w:r>
      <w:r w:rsidR="00D93F2B">
        <w:t>jeżeli podstawą dla określenia wysokości wynagrodzenia za bezumowne korzystanie z nieruchomości jest wartość nieruchomości, należy ją przyjąć uwzględniając obniżenie tej wartości na skutek prawnej lokalizacji i budowy urządzeń przesyłowych.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4)</w:t>
      </w:r>
      <w:r>
        <w:tab/>
        <w:t>Wykonawca jest zobowiązany do ustalenia przeznaczenia nieruchomości w poszczególnych okresach bezumownego korzystania z nieruchomości oraz określenia wynagrodzenia z tego tytułu z uwzględnieniem ewentualnej zmiany przeznaczenia w poszczególnych okresach bezumownego korzystania.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5)</w:t>
      </w:r>
      <w:r>
        <w:tab/>
        <w:t>Podstawą dla określania wysokości wynagrodzenia nie powinny być stawki czynszu najmu albo dzierżawy (z uwagi na odmienność stosunku prawnego i zasadę wyłącznego władania nieruchomością przez dzierżawcę albo najemcę) oraz opłaty za korzystanie z gruntów gmin (zgodnie z przyjętymi przez nie stawkami miejscowymi).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6)</w:t>
      </w:r>
      <w:r>
        <w:tab/>
        <w:t xml:space="preserve">Wykonawca uwzględnia obniżenie wartości nieruchomości na skutek prawnej lokalizacji i budowy urządzeń, na podstawie informacji i dokumentów pozyskanych samodzielnie, ewentualnie także przekazanych przez Zamawiającego w </w:t>
      </w:r>
      <w:r>
        <w:lastRenderedPageBreak/>
        <w:t>wykonaniu postanowień 5 6 ust. 2 umowy o świadczenie usług przez Wykonawcę na rzecz</w:t>
      </w:r>
      <w:r w:rsidR="009B054F">
        <w:t xml:space="preserve"> </w:t>
      </w:r>
      <w:r>
        <w:t>Zamawiającego.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7)</w:t>
      </w:r>
      <w:r>
        <w:tab/>
        <w:t>Wysokość określonego wynagrodzenia za bezumowne korzystanie z nieruchomości powinna mieć charakter wartości nominalnej. Rzeczoznawca majątkowy nie jest uprawniony do jej waloryzacji bez wyraźnego zlecenia Zamawiającego.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8)</w:t>
      </w:r>
      <w:r>
        <w:tab/>
        <w:t>Szerokość pasa bezumownego korzystania z nieruchomości oraz jego powierzchnia będą każdorazowo wskazywane przez Zamawiającego i Wykonawca nie jest uprawniony do samodzielnego określania odmiennych szerokości tego pasa ani też uwzględniania w wycenie samodzielnie określonych stref oddziaływania urządzeń lub stref ograniczonego korzystania z nieruchomości.</w:t>
      </w:r>
    </w:p>
    <w:p w:rsidR="009B054F" w:rsidRDefault="009B054F" w:rsidP="009B054F">
      <w:pPr>
        <w:pStyle w:val="Akapitzlist"/>
        <w:spacing w:after="0" w:line="276" w:lineRule="auto"/>
        <w:ind w:left="1404" w:right="172" w:hanging="675"/>
      </w:pPr>
    </w:p>
    <w:p w:rsidR="00D93F2B" w:rsidRPr="009B054F" w:rsidRDefault="00D93F2B" w:rsidP="009B054F">
      <w:pPr>
        <w:pStyle w:val="Akapitzlist"/>
        <w:spacing w:after="0" w:line="276" w:lineRule="auto"/>
        <w:ind w:left="1404" w:right="172" w:hanging="675"/>
        <w:rPr>
          <w:b/>
        </w:rPr>
      </w:pPr>
      <w:r w:rsidRPr="009B054F">
        <w:rPr>
          <w:b/>
        </w:rPr>
        <w:t xml:space="preserve">4. </w:t>
      </w:r>
      <w:r w:rsidR="009B054F">
        <w:rPr>
          <w:b/>
        </w:rPr>
        <w:tab/>
      </w:r>
      <w:r w:rsidRPr="009B054F">
        <w:rPr>
          <w:b/>
        </w:rPr>
        <w:t>WYTYCZNE W ZAKRESIE OKREŚLANIA WARTOŚCI SZKODY POWSTAŁEJ NA SKUTEK OGRANICZENIA WŁASNOŚCI NA PODSTAWIE ART. 124 UST. 1 USTAWY O GOSPODARCE NIERUCHOMOŚCIAMI</w:t>
      </w:r>
    </w:p>
    <w:p w:rsidR="009B054F" w:rsidRDefault="009B054F" w:rsidP="00D93F2B">
      <w:pPr>
        <w:pStyle w:val="Akapitzlist"/>
        <w:spacing w:after="0" w:line="276" w:lineRule="auto"/>
        <w:ind w:left="729" w:right="172" w:firstLine="0"/>
      </w:pP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1)</w:t>
      </w:r>
      <w:r>
        <w:tab/>
        <w:t xml:space="preserve">Wykonawca jest zobowiązany do określenia wartości szkody powstałej na skutek ograniczenia sposobu korzystania z nieruchomości, zgodnie z zasadami określonymi w przepisach powszechnie obowiązującego prawa, w szczególności w przepisach: art. 128 ust. 4 i art. 124 ust. 4 ustawy o gospodarce nieruchomościami (dalej: „Ustawa” albo </w:t>
      </w:r>
      <w:proofErr w:type="spellStart"/>
      <w:r>
        <w:t>u.g.n</w:t>
      </w:r>
      <w:proofErr w:type="spellEnd"/>
      <w:r>
        <w:t>.) oraz 5 43 rozporządzenia w sprawie wyceny i sporządzania operatu szacunkowego (dalej: „Rozporządzenie”).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2)</w:t>
      </w:r>
      <w:r>
        <w:tab/>
        <w:t xml:space="preserve">Wykonawca jest zobowiązany do określenia wartości szkody wyrażającej się zmniejszeniem wartości nieruchomości, o którym mowa w art. 128 ust. 4 w zw. z art. 124 ust. 4 </w:t>
      </w:r>
      <w:proofErr w:type="spellStart"/>
      <w:r>
        <w:t>u.g.n</w:t>
      </w:r>
      <w:proofErr w:type="spellEnd"/>
      <w:r>
        <w:t>., w oparciu o założenia merytoryczne wynikające z przepisów powszechnie obowiązującego prawa, zgodnie z którymi:</w:t>
      </w:r>
    </w:p>
    <w:p w:rsidR="00D93F2B" w:rsidRDefault="00D93F2B" w:rsidP="009B054F">
      <w:pPr>
        <w:pStyle w:val="Akapitzlist"/>
        <w:spacing w:after="0" w:line="276" w:lineRule="auto"/>
        <w:ind w:left="1404" w:right="172" w:firstLine="0"/>
      </w:pPr>
      <w:r>
        <w:t>a)</w:t>
      </w:r>
      <w:r>
        <w:tab/>
        <w:t>zmniejszenie wartości nieruchomości dotyczy wyłącznie skutków budowy i trwałego utrzymywania urządzeń elektroenergetycznych,</w:t>
      </w:r>
    </w:p>
    <w:p w:rsidR="00D93F2B" w:rsidRDefault="00D93F2B" w:rsidP="009B054F">
      <w:pPr>
        <w:pStyle w:val="Akapitzlist"/>
        <w:spacing w:after="0" w:line="276" w:lineRule="auto"/>
        <w:ind w:left="1404" w:right="172" w:firstLine="0"/>
      </w:pPr>
      <w:r>
        <w:t>b)</w:t>
      </w:r>
      <w:r>
        <w:tab/>
        <w:t>szkoda lokalizacyjna, tj. szkoda powstała w wyniku wprowadzenia urządzenia elektroenergetycznego do miejscowego planu zagospodarowania przestrzennego albo wydania decyzji o ustaleniu lokalizacji inwestycji celu publicznego, w postaci rzeczywistego uszczerbku w majątku właściciela nieruchomości, polegającego na obniżeniu wartości nieruchomości na skutek uniemożliwienia albo istotnego ograniczenia korzystania z nieruchomości lub jej części w sposób dotychczasowy (sfera faktyczna) lub zgodny z dotychczasowym przeznaczeniem (sfera prawna), podlega rekompensacie na podstawie art. 36 ust. 1 ustawy o planowaniu i zagospodarowaniu przestrzennym przez właściwą gminę,</w:t>
      </w:r>
    </w:p>
    <w:p w:rsidR="00D93F2B" w:rsidRDefault="009B054F" w:rsidP="009B054F">
      <w:pPr>
        <w:pStyle w:val="Akapitzlist"/>
        <w:spacing w:after="0" w:line="276" w:lineRule="auto"/>
        <w:ind w:left="1404" w:right="172" w:firstLine="0"/>
      </w:pPr>
      <w:r>
        <w:t>c)</w:t>
      </w:r>
      <w:r>
        <w:tab/>
      </w:r>
      <w:r w:rsidR="00D93F2B">
        <w:t xml:space="preserve">odszkodowanie za zmniejszenie wartości nieruchomości nie ma charakteru cywilnoprawnego, a określając wartość szkody nie stosuje się w drodze analogii rozwiązań cywilnoprawnych, w szczególności niedopuszczalne jest utożsamianie skutków spowodowanych obowiązkiem udostępnienia nieruchomości na potrzeby </w:t>
      </w:r>
      <w:r w:rsidR="00D93F2B">
        <w:lastRenderedPageBreak/>
        <w:t>wykonania czynności związanych z konserwacją oraz usuwaniem awarii ciągów, przewodów i urządzeń (5 43 ust 3 pkt 4 Rozporządzenia) z wynagrodzeniem za korzystanie z nieruchomości, będącym obligatoryjnym składnikiem wynagrodzenia z tytułu ustanowienia służebności przesytu,</w:t>
      </w:r>
    </w:p>
    <w:p w:rsidR="00D93F2B" w:rsidRDefault="00D93F2B" w:rsidP="009B054F">
      <w:pPr>
        <w:pStyle w:val="Akapitzlist"/>
        <w:spacing w:after="0" w:line="276" w:lineRule="auto"/>
        <w:ind w:left="1404" w:right="172" w:firstLine="0"/>
      </w:pPr>
      <w:r>
        <w:t>d)</w:t>
      </w:r>
      <w:r>
        <w:tab/>
        <w:t>wartość szkody jest ustalana w oparciu o zamknięty katalog przesłanek określonych w 5 43 ust 3 pkt 4 Rozporządzenia.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3)</w:t>
      </w:r>
      <w:r>
        <w:tab/>
        <w:t>Uwzględniając zasady wskazane w pkt 2 lit a) i b) powyżej, Wykonawca jest zobowiązany do:</w:t>
      </w:r>
    </w:p>
    <w:p w:rsidR="00D93F2B" w:rsidRDefault="00D93F2B" w:rsidP="009B054F">
      <w:pPr>
        <w:pStyle w:val="Akapitzlist"/>
        <w:spacing w:after="0" w:line="276" w:lineRule="auto"/>
        <w:ind w:left="1404" w:right="172" w:firstLine="0"/>
      </w:pPr>
      <w:r>
        <w:t>a)</w:t>
      </w:r>
      <w:r>
        <w:tab/>
        <w:t>zidentyfikowania i wyodrębnienia ograniczeń powstałych na skutek prawnej lokalizacji urządzeń elektroenergetycznych,</w:t>
      </w:r>
    </w:p>
    <w:p w:rsidR="00D93F2B" w:rsidRDefault="00D93F2B" w:rsidP="009B054F">
      <w:pPr>
        <w:pStyle w:val="Akapitzlist"/>
        <w:spacing w:after="0" w:line="276" w:lineRule="auto"/>
        <w:ind w:left="1404" w:right="172" w:firstLine="0"/>
      </w:pPr>
      <w:r>
        <w:t>b)</w:t>
      </w:r>
      <w:r>
        <w:tab/>
        <w:t>odniesienia czynników kształtujących stopień zmniejszenia wartości nieruchomości, określonych w ś 43 ust. 3 Rozporządzenia, do uwarunkowań na nieruchomości uwzględniających skutki prawnej lokalizacji urządzeń elektroenergetycznych.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4)</w:t>
      </w:r>
      <w:r>
        <w:tab/>
        <w:t>Uwzględniając zasadę określoną w pkt 1 lit. c) powyżej, Wykonawca nie powinien określać wysokości wynagrodzenia za korzystanie z nieruchomości na podstawie 5 43 ust 3 pkt 4 Rozporządzenia, a skutki określone w tym przepisie Wykonawca powinien uwzględnić wyłącznie ustalając stopień zmniejszenia wartości nieruchomości.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5)</w:t>
      </w:r>
      <w:r>
        <w:tab/>
        <w:t>W przypadkach dotyczących przebudowy istniejących urządzeń przesyłowych z zachowaniem dotychczasowego przebiegu, czynniki wymienione w 5 43 ust. 3 Rozporządzenia Wykonawca powinien odnieść do dotychczasowego zakresu obciążenia nieruchomości urządzeniami.</w:t>
      </w:r>
    </w:p>
    <w:p w:rsidR="009B054F" w:rsidRDefault="009B054F" w:rsidP="009B054F">
      <w:pPr>
        <w:pStyle w:val="Akapitzlist"/>
        <w:spacing w:after="0" w:line="276" w:lineRule="auto"/>
        <w:ind w:left="1404" w:right="172" w:hanging="675"/>
      </w:pPr>
    </w:p>
    <w:p w:rsidR="00D93F2B" w:rsidRPr="009B054F" w:rsidRDefault="009B054F" w:rsidP="009B054F">
      <w:pPr>
        <w:spacing w:after="0" w:line="276" w:lineRule="auto"/>
        <w:ind w:left="1404" w:right="172" w:hanging="962"/>
        <w:rPr>
          <w:b/>
        </w:rPr>
      </w:pPr>
      <w:r>
        <w:rPr>
          <w:b/>
        </w:rPr>
        <w:t xml:space="preserve">5. </w:t>
      </w:r>
      <w:r>
        <w:rPr>
          <w:b/>
        </w:rPr>
        <w:tab/>
      </w:r>
      <w:r>
        <w:rPr>
          <w:b/>
        </w:rPr>
        <w:tab/>
      </w:r>
      <w:r w:rsidR="00D93F2B" w:rsidRPr="009B054F">
        <w:rPr>
          <w:b/>
        </w:rPr>
        <w:t>WYTYCZNE W ZAKRESIE USTALANIA ODSZKODOWANIA ZA CZASOWE KORZYSTANIE Z NIERUCHOMOŚCI NA PODSTAWIE ART. 124B USTAWY O GOSPODARCE</w:t>
      </w:r>
      <w:r>
        <w:rPr>
          <w:b/>
        </w:rPr>
        <w:t xml:space="preserve"> </w:t>
      </w:r>
      <w:r w:rsidR="00D93F2B" w:rsidRPr="009B054F">
        <w:rPr>
          <w:b/>
        </w:rPr>
        <w:t>NIERUCHOMOŚCIAMI</w:t>
      </w:r>
    </w:p>
    <w:p w:rsidR="009B054F" w:rsidRDefault="009B054F" w:rsidP="009B054F">
      <w:pPr>
        <w:pStyle w:val="Akapitzlist"/>
        <w:spacing w:after="0" w:line="276" w:lineRule="auto"/>
        <w:ind w:left="1404" w:right="172" w:hanging="675"/>
      </w:pP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1)</w:t>
      </w:r>
      <w:r>
        <w:tab/>
        <w:t xml:space="preserve">Wykonawca jest zobowiązany do określenia odszkodowania za udostępnienie nieruchomości oraz szkody powstałe na skutek czynności, o których mowa w art. 124b ust. 1 </w:t>
      </w:r>
      <w:proofErr w:type="spellStart"/>
      <w:r>
        <w:t>u.g.n</w:t>
      </w:r>
      <w:proofErr w:type="spellEnd"/>
      <w:r>
        <w:t xml:space="preserve">. lub w oparciu o art. 124 ust. 4 </w:t>
      </w:r>
      <w:proofErr w:type="spellStart"/>
      <w:r>
        <w:t>u.g.n</w:t>
      </w:r>
      <w:proofErr w:type="spellEnd"/>
      <w:r>
        <w:t xml:space="preserve">. w związku z art. 124b ust. 3 </w:t>
      </w:r>
      <w:proofErr w:type="spellStart"/>
      <w:r>
        <w:t>u.g.n</w:t>
      </w:r>
      <w:proofErr w:type="spellEnd"/>
      <w:r>
        <w:t xml:space="preserve">., zgodnie z zasadami określonymi w przepisach powszechnie obowiązującego prawa, w szczególności w przepisach: art. 128 ust. 4 i art. 124b ust. 4 </w:t>
      </w:r>
      <w:proofErr w:type="spellStart"/>
      <w:r>
        <w:t>u.g.n</w:t>
      </w:r>
      <w:proofErr w:type="spellEnd"/>
      <w:r>
        <w:t>., 124 ust. 4</w:t>
      </w:r>
      <w:r w:rsidR="009B054F">
        <w:t xml:space="preserve"> </w:t>
      </w:r>
      <w:proofErr w:type="spellStart"/>
      <w:r>
        <w:t>u.g.n</w:t>
      </w:r>
      <w:proofErr w:type="spellEnd"/>
      <w:r>
        <w:t xml:space="preserve">. w związku </w:t>
      </w:r>
      <w:r w:rsidR="009B054F">
        <w:t xml:space="preserve">z art. 124b ust. 3 </w:t>
      </w:r>
      <w:proofErr w:type="spellStart"/>
      <w:r w:rsidR="009B054F">
        <w:t>u.g.n</w:t>
      </w:r>
      <w:proofErr w:type="spellEnd"/>
      <w:r w:rsidR="009B054F">
        <w:t>. oraz art.</w:t>
      </w:r>
      <w:r>
        <w:t xml:space="preserve"> 43 Rozporządzenia.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2)</w:t>
      </w:r>
      <w:r>
        <w:tab/>
        <w:t xml:space="preserve">Wykonawca jest zobowiązany do określenia odszkodowania, o którym mowa w art. 128 ust. 4 w zw. z art. 124b ust. 4 </w:t>
      </w:r>
      <w:proofErr w:type="spellStart"/>
      <w:r>
        <w:t>u.g.n</w:t>
      </w:r>
      <w:proofErr w:type="spellEnd"/>
      <w:r>
        <w:t xml:space="preserve">., odrębnie określając element związany z udostępnieniem nieruchomości i ze szkodami powstałymi w wyniku czynności podejmowanych w oparciu o decyzję z art. 124b ust. 1 </w:t>
      </w:r>
      <w:proofErr w:type="spellStart"/>
      <w:r>
        <w:t>u.g.n</w:t>
      </w:r>
      <w:proofErr w:type="spellEnd"/>
      <w:r>
        <w:t>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lastRenderedPageBreak/>
        <w:t>3)</w:t>
      </w:r>
      <w:r>
        <w:tab/>
        <w:t xml:space="preserve">Wykonawca jest zobowiązany różnicować w ramach składników odszkodowania elementy związane z poszczególnymi rodzajami czynności wymienionymi w art. 124b ust. 1 </w:t>
      </w:r>
      <w:proofErr w:type="spellStart"/>
      <w:r>
        <w:t>u.g.n</w:t>
      </w:r>
      <w:proofErr w:type="spellEnd"/>
      <w:r>
        <w:t>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4)</w:t>
      </w:r>
      <w:r>
        <w:tab/>
        <w:t xml:space="preserve">Wykonawca nie powinien uwzględniać, w procesie ustalania odszkodowania, skutków zdarzeń i </w:t>
      </w:r>
      <w:proofErr w:type="spellStart"/>
      <w:r>
        <w:t>zachowań</w:t>
      </w:r>
      <w:proofErr w:type="spellEnd"/>
      <w:r>
        <w:t xml:space="preserve">, które nie powinny być uznawane za wykonywanie decyzji z art. 124b ust. 1 </w:t>
      </w:r>
      <w:proofErr w:type="spellStart"/>
      <w:r>
        <w:t>u.g.n</w:t>
      </w:r>
      <w:proofErr w:type="spellEnd"/>
      <w:r>
        <w:t xml:space="preserve">. np. w przypadku zajęcia terenu nieobjętego decyzją z art. 124b ust. 1 </w:t>
      </w:r>
      <w:proofErr w:type="spellStart"/>
      <w:r>
        <w:t>u.g.n</w:t>
      </w:r>
      <w:proofErr w:type="spellEnd"/>
      <w:r>
        <w:t xml:space="preserve">., korzystania z nieruchomości w okresie przekraczającym okres wskazany w decyzji z art. 124b ust. 1 </w:t>
      </w:r>
      <w:proofErr w:type="spellStart"/>
      <w:r>
        <w:t>u.g.n</w:t>
      </w:r>
      <w:proofErr w:type="spellEnd"/>
      <w:r>
        <w:t>. lub wynikający ze zdarzeń wcześniejszych (zaszłości),</w:t>
      </w:r>
    </w:p>
    <w:p w:rsidR="00615887" w:rsidRDefault="00D93F2B" w:rsidP="009B054F">
      <w:pPr>
        <w:pStyle w:val="Akapitzlist"/>
        <w:spacing w:after="0" w:line="276" w:lineRule="auto"/>
        <w:ind w:left="1404" w:right="172" w:hanging="675"/>
      </w:pPr>
      <w:r>
        <w:t>5)</w:t>
      </w:r>
      <w:r>
        <w:tab/>
        <w:t>Wykonawca powinien uwzględnić to, że obszar, w którym powstały szkody, uwzględniany w ramach ustalania odszkodowania, nie musi pokrywać się z obszarem udostępnienia nieruchomości (np. w przypadku, gdy prace były faktycznie prowadzone w obszarze mniejszym niż objęty decyzją administracyjną); w przypadku braku wystarczającej dokumentacji w tym zakresie Wykonawca powinien zwrócić się do Zamawiającego o jej przekazanie lub przekazanie założeń, na których ma oprzeć wycenę.</w:t>
      </w:r>
    </w:p>
    <w:sectPr w:rsidR="00615887" w:rsidSect="00F9304B">
      <w:headerReference w:type="default" r:id="rId7"/>
      <w:footerReference w:type="even" r:id="rId8"/>
      <w:footerReference w:type="first" r:id="rId9"/>
      <w:pgSz w:w="11900" w:h="16820"/>
      <w:pgMar w:top="988" w:right="974" w:bottom="1513" w:left="1416" w:header="708" w:footer="454" w:gutter="0"/>
      <w:pgNumType w:start="2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784" w:rsidRDefault="006A3784">
      <w:pPr>
        <w:spacing w:after="0" w:line="240" w:lineRule="auto"/>
      </w:pPr>
      <w:r>
        <w:separator/>
      </w:r>
    </w:p>
  </w:endnote>
  <w:endnote w:type="continuationSeparator" w:id="0">
    <w:p w:rsidR="006A3784" w:rsidRDefault="006A3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F9A" w:rsidRDefault="006A3784">
    <w:pPr>
      <w:spacing w:after="0" w:line="259" w:lineRule="auto"/>
      <w:ind w:left="0" w:right="533" w:firstLine="0"/>
      <w:jc w:val="righ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21</w:t>
    </w:r>
    <w:r>
      <w:rPr>
        <w:sz w:val="18"/>
      </w:rPr>
      <w:fldChar w:fldCharType="end"/>
    </w:r>
    <w:r>
      <w:rPr>
        <w:sz w:val="18"/>
      </w:rPr>
      <w:t xml:space="preserve"> </w:t>
    </w:r>
    <w:r>
      <w:rPr>
        <w:sz w:val="22"/>
      </w:rPr>
      <w:t xml:space="preserve">z </w:t>
    </w:r>
    <w:r>
      <w:rPr>
        <w:sz w:val="18"/>
      </w:rPr>
      <w:t>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F9A" w:rsidRDefault="006A3784">
    <w:pPr>
      <w:spacing w:after="0" w:line="259" w:lineRule="auto"/>
      <w:ind w:left="0" w:right="533" w:firstLine="0"/>
      <w:jc w:val="righ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21</w:t>
    </w:r>
    <w:r>
      <w:rPr>
        <w:sz w:val="18"/>
      </w:rPr>
      <w:fldChar w:fldCharType="end"/>
    </w:r>
    <w:r>
      <w:rPr>
        <w:sz w:val="18"/>
      </w:rPr>
      <w:t xml:space="preserve"> </w:t>
    </w:r>
    <w:r>
      <w:rPr>
        <w:sz w:val="22"/>
      </w:rPr>
      <w:t xml:space="preserve">z </w:t>
    </w:r>
    <w:r>
      <w:rPr>
        <w:sz w:val="18"/>
      </w:rPr>
      <w:t>39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784" w:rsidRDefault="006A3784">
      <w:pPr>
        <w:spacing w:after="0" w:line="240" w:lineRule="auto"/>
      </w:pPr>
      <w:r>
        <w:separator/>
      </w:r>
    </w:p>
  </w:footnote>
  <w:footnote w:type="continuationSeparator" w:id="0">
    <w:p w:rsidR="006A3784" w:rsidRDefault="006A3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87" w:rsidRDefault="00615887" w:rsidP="00615887">
    <w:pPr>
      <w:pStyle w:val="Nagwek"/>
    </w:pPr>
  </w:p>
  <w:p w:rsidR="00615887" w:rsidRPr="00615887" w:rsidRDefault="00615887" w:rsidP="00615887">
    <w:pPr>
      <w:pStyle w:val="Nagwek"/>
      <w:rPr>
        <w:sz w:val="20"/>
        <w:szCs w:val="20"/>
      </w:rPr>
    </w:pPr>
    <w:r w:rsidRPr="00615887">
      <w:rPr>
        <w:sz w:val="20"/>
        <w:szCs w:val="20"/>
      </w:rPr>
      <w:t>ZAŁĄCZNIK NR 2 DO UMOWY ……………………………………………….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02F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2A00D0"/>
    <w:multiLevelType w:val="hybridMultilevel"/>
    <w:tmpl w:val="CE3414CE"/>
    <w:lvl w:ilvl="0" w:tplc="6BAC47D8">
      <w:start w:val="1"/>
      <w:numFmt w:val="decimal"/>
      <w:lvlText w:val="%1."/>
      <w:lvlJc w:val="left"/>
      <w:pPr>
        <w:ind w:left="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928F36">
      <w:start w:val="1"/>
      <w:numFmt w:val="decimal"/>
      <w:lvlText w:val="%2)"/>
      <w:lvlJc w:val="left"/>
      <w:pPr>
        <w:ind w:left="7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CCA4FC">
      <w:start w:val="1"/>
      <w:numFmt w:val="lowerLetter"/>
      <w:lvlText w:val="%3)"/>
      <w:lvlJc w:val="left"/>
      <w:pPr>
        <w:ind w:left="1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883FF0">
      <w:start w:val="1"/>
      <w:numFmt w:val="decimal"/>
      <w:lvlText w:val="%4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44934E">
      <w:start w:val="1"/>
      <w:numFmt w:val="lowerLetter"/>
      <w:lvlText w:val="%5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9A2D42">
      <w:start w:val="1"/>
      <w:numFmt w:val="lowerRoman"/>
      <w:lvlText w:val="%6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10938A">
      <w:start w:val="1"/>
      <w:numFmt w:val="decimal"/>
      <w:lvlText w:val="%7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003722">
      <w:start w:val="1"/>
      <w:numFmt w:val="lowerLetter"/>
      <w:lvlText w:val="%8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C6AC8A">
      <w:start w:val="1"/>
      <w:numFmt w:val="lowerRoman"/>
      <w:lvlText w:val="%9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4053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C0799E"/>
    <w:multiLevelType w:val="hybridMultilevel"/>
    <w:tmpl w:val="F514AF88"/>
    <w:lvl w:ilvl="0" w:tplc="8DFC6596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0CF6DE">
      <w:start w:val="1"/>
      <w:numFmt w:val="lowerLetter"/>
      <w:lvlText w:val="%2"/>
      <w:lvlJc w:val="left"/>
      <w:pPr>
        <w:ind w:left="1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52C5E8">
      <w:start w:val="1"/>
      <w:numFmt w:val="lowerRoman"/>
      <w:lvlText w:val="%3"/>
      <w:lvlJc w:val="left"/>
      <w:pPr>
        <w:ind w:left="1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00345C">
      <w:start w:val="1"/>
      <w:numFmt w:val="decimal"/>
      <w:lvlText w:val="%4"/>
      <w:lvlJc w:val="left"/>
      <w:pPr>
        <w:ind w:left="2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EC9BEE">
      <w:start w:val="1"/>
      <w:numFmt w:val="lowerLetter"/>
      <w:lvlText w:val="%5"/>
      <w:lvlJc w:val="left"/>
      <w:pPr>
        <w:ind w:left="3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3833EE">
      <w:start w:val="1"/>
      <w:numFmt w:val="lowerRoman"/>
      <w:lvlText w:val="%6"/>
      <w:lvlJc w:val="left"/>
      <w:pPr>
        <w:ind w:left="4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26F7BC">
      <w:start w:val="1"/>
      <w:numFmt w:val="decimal"/>
      <w:lvlText w:val="%7"/>
      <w:lvlJc w:val="left"/>
      <w:pPr>
        <w:ind w:left="4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1E94BA">
      <w:start w:val="1"/>
      <w:numFmt w:val="lowerLetter"/>
      <w:lvlText w:val="%8"/>
      <w:lvlJc w:val="left"/>
      <w:pPr>
        <w:ind w:left="5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6C2AB8">
      <w:start w:val="1"/>
      <w:numFmt w:val="lowerRoman"/>
      <w:lvlText w:val="%9"/>
      <w:lvlJc w:val="left"/>
      <w:pPr>
        <w:ind w:left="6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FED42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92C16D7"/>
    <w:multiLevelType w:val="hybridMultilevel"/>
    <w:tmpl w:val="EDF2EF7A"/>
    <w:lvl w:ilvl="0" w:tplc="B4EEB556">
      <w:start w:val="1"/>
      <w:numFmt w:val="decimal"/>
      <w:lvlText w:val="%1)"/>
      <w:lvlJc w:val="left"/>
      <w:pPr>
        <w:ind w:left="7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98C7B8E">
      <w:start w:val="1"/>
      <w:numFmt w:val="lowerLetter"/>
      <w:lvlText w:val="%2)"/>
      <w:lvlJc w:val="left"/>
      <w:pPr>
        <w:ind w:left="1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7E03004">
      <w:start w:val="1"/>
      <w:numFmt w:val="lowerRoman"/>
      <w:lvlText w:val="%3"/>
      <w:lvlJc w:val="left"/>
      <w:pPr>
        <w:ind w:left="1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18AA80A">
      <w:start w:val="1"/>
      <w:numFmt w:val="decimal"/>
      <w:lvlText w:val="%4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AA2ABB0">
      <w:start w:val="1"/>
      <w:numFmt w:val="lowerLetter"/>
      <w:lvlText w:val="%5"/>
      <w:lvlJc w:val="left"/>
      <w:pPr>
        <w:ind w:left="2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982CA64">
      <w:start w:val="1"/>
      <w:numFmt w:val="lowerRoman"/>
      <w:lvlText w:val="%6"/>
      <w:lvlJc w:val="left"/>
      <w:pPr>
        <w:ind w:left="3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53E08DC">
      <w:start w:val="1"/>
      <w:numFmt w:val="decimal"/>
      <w:lvlText w:val="%7"/>
      <w:lvlJc w:val="left"/>
      <w:pPr>
        <w:ind w:left="4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8EC1166">
      <w:start w:val="1"/>
      <w:numFmt w:val="lowerLetter"/>
      <w:lvlText w:val="%8"/>
      <w:lvlJc w:val="left"/>
      <w:pPr>
        <w:ind w:left="5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5709868">
      <w:start w:val="1"/>
      <w:numFmt w:val="lowerRoman"/>
      <w:lvlText w:val="%9"/>
      <w:lvlJc w:val="left"/>
      <w:pPr>
        <w:ind w:left="5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62C27BD"/>
    <w:multiLevelType w:val="hybridMultilevel"/>
    <w:tmpl w:val="6B5C45CA"/>
    <w:lvl w:ilvl="0" w:tplc="A426EEEC">
      <w:start w:val="4"/>
      <w:numFmt w:val="decimal"/>
      <w:lvlText w:val="%1)"/>
      <w:lvlJc w:val="left"/>
      <w:pPr>
        <w:ind w:left="7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FCD3E2">
      <w:start w:val="1"/>
      <w:numFmt w:val="lowerLetter"/>
      <w:lvlText w:val="%2"/>
      <w:lvlJc w:val="left"/>
      <w:pPr>
        <w:ind w:left="1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CF76C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4E931C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9A3DE6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2256B6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C0E86A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98A9A0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BC0190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F9A"/>
    <w:rsid w:val="00034099"/>
    <w:rsid w:val="00153F9A"/>
    <w:rsid w:val="00242C35"/>
    <w:rsid w:val="002C7CF6"/>
    <w:rsid w:val="0043603D"/>
    <w:rsid w:val="00596760"/>
    <w:rsid w:val="005A1DBD"/>
    <w:rsid w:val="00615887"/>
    <w:rsid w:val="00652CB7"/>
    <w:rsid w:val="00654401"/>
    <w:rsid w:val="006A3784"/>
    <w:rsid w:val="009B054F"/>
    <w:rsid w:val="00D27C70"/>
    <w:rsid w:val="00D93F2B"/>
    <w:rsid w:val="00DC241E"/>
    <w:rsid w:val="00F9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0B209C"/>
  <w15:docId w15:val="{16086019-D0A1-4432-919D-56F4790C4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47" w:lineRule="auto"/>
      <w:ind w:left="442" w:hanging="341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CF6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F930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04B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615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BDACDEDDC88904DADEEA450C00842D7" ma:contentTypeVersion="0" ma:contentTypeDescription="SWPP2 Dokument bazowy" ma:contentTypeScope="" ma:versionID="ebb69ce4c0447acc4f2a4f253365555f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umowy Wytyczne.docx</dmsv2BaseFileName>
    <dmsv2BaseDisplayName xmlns="http://schemas.microsoft.com/sharepoint/v3">Załącznik nr 2 do umowy Wytyczne</dmsv2BaseDisplayName>
    <dmsv2SWPP2ObjectNumber xmlns="http://schemas.microsoft.com/sharepoint/v3" xsi:nil="true"/>
    <dmsv2SWPP2SumMD5 xmlns="http://schemas.microsoft.com/sharepoint/v3">9520ddf9cdccd02ddc6ae15d8559da3b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681006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22503374</dmsv2BaseClientSystemDocumentID>
    <dmsv2BaseModifiedByID xmlns="http://schemas.microsoft.com/sharepoint/v3">11950199</dmsv2BaseModifiedByID>
    <dmsv2BaseCreatedByID xmlns="http://schemas.microsoft.com/sharepoint/v3">11950199</dmsv2BaseCreatedByID>
    <dmsv2SWPP2ObjectDepartment xmlns="http://schemas.microsoft.com/sharepoint/v3">00000001000700050000000a0003</dmsv2SWPP2ObjectDepartment>
    <dmsv2SWPP2ObjectName xmlns="http://schemas.microsoft.com/sharepoint/v3">Wniosek</dmsv2SWPP2ObjectName>
    <_dlc_DocId xmlns="a19cb1c7-c5c7-46d4-85ae-d83685407bba">M37YNRNYPV7A-768102446-19018</_dlc_DocId>
    <_dlc_DocIdUrl xmlns="a19cb1c7-c5c7-46d4-85ae-d83685407bba">
      <Url>https://swpp2.dms.gkpge.pl/sites/37/_layouts/15/DocIdRedir.aspx?ID=M37YNRNYPV7A-768102446-19018</Url>
      <Description>M37YNRNYPV7A-768102446-19018</Description>
    </_dlc_DocIdUrl>
  </documentManagement>
</p:properties>
</file>

<file path=customXml/itemProps1.xml><?xml version="1.0" encoding="utf-8"?>
<ds:datastoreItem xmlns:ds="http://schemas.openxmlformats.org/officeDocument/2006/customXml" ds:itemID="{FD658B16-D461-4A90-8A7D-FB6C69534B63}"/>
</file>

<file path=customXml/itemProps2.xml><?xml version="1.0" encoding="utf-8"?>
<ds:datastoreItem xmlns:ds="http://schemas.openxmlformats.org/officeDocument/2006/customXml" ds:itemID="{4767814C-F245-4985-82F4-E609443A8ED2}"/>
</file>

<file path=customXml/itemProps3.xml><?xml version="1.0" encoding="utf-8"?>
<ds:datastoreItem xmlns:ds="http://schemas.openxmlformats.org/officeDocument/2006/customXml" ds:itemID="{D1520C1A-9DD8-4F1B-B448-C68EE5224D77}"/>
</file>

<file path=customXml/itemProps4.xml><?xml version="1.0" encoding="utf-8"?>
<ds:datastoreItem xmlns:ds="http://schemas.openxmlformats.org/officeDocument/2006/customXml" ds:itemID="{4FCD2AAC-6ADB-4832-80BF-ABD0679A2D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2244</Words>
  <Characters>13467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D007P-0005-20230127104404</vt:lpstr>
    </vt:vector>
  </TitlesOfParts>
  <Company>PGE Systemy</Company>
  <LinksUpToDate>false</LinksUpToDate>
  <CharactersWithSpaces>15680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D007P-0005-20230127104404</dc:title>
  <dc:subject/>
  <dc:creator>Żmudzka Magdalena [PGE Dystr. O.Warszawa]</dc:creator>
  <cp:keywords/>
  <cp:lastModifiedBy>Żmudzka Magdalena [PGE Dystr. O.Warszawa]</cp:lastModifiedBy>
  <cp:revision>13</cp:revision>
  <dcterms:created xsi:type="dcterms:W3CDTF">2023-01-27T11:42:00Z</dcterms:created>
  <dcterms:modified xsi:type="dcterms:W3CDTF">2023-02-16T08:22:00Z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0x01018910005BDACDEDDC88904DADEEA450C00842D7</vt:lpwstr>
  </property>
  <property fmtid="{D5CDD505-2E9C-101B-9397-08002B2CF9AE}" pid="3" name="_dlc_DocIdItemGuid">
    <vt:lpwstr>e61bf9eb-50e0-40e8-a99b-7a2bbcb6c8c7</vt:lpwstr>
  </property>
</Properties>
</file>